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E45F" w14:textId="12B4BBC3" w:rsidR="00123C01" w:rsidRPr="00123C01" w:rsidRDefault="00123C01" w:rsidP="00123C01">
      <w:pPr>
        <w:snapToGrid w:val="0"/>
        <w:spacing w:after="240" w:line="276" w:lineRule="auto"/>
        <w:ind w:leftChars="-400" w:left="-880" w:rightChars="-444" w:right="-977"/>
        <w:jc w:val="center"/>
        <w:rPr>
          <w:rFonts w:ascii="Times New Roman" w:eastAsia="SimHei" w:hAnsi="Times New Roman" w:cs="Times New Roman"/>
          <w:b/>
          <w:bCs/>
          <w:sz w:val="32"/>
          <w:szCs w:val="32"/>
          <w:lang w:val="uk-UA"/>
        </w:rPr>
      </w:pPr>
      <w:r w:rsidRPr="00123C01">
        <w:rPr>
          <w:rFonts w:ascii="Times New Roman" w:eastAsia="SimHei" w:hAnsi="Times New Roman" w:cs="Times New Roman"/>
          <w:b/>
          <w:bCs/>
          <w:sz w:val="32"/>
          <w:szCs w:val="32"/>
          <w:lang w:val="uk-UA"/>
        </w:rPr>
        <w:t>Міністерство науки і техніки КНР</w:t>
      </w:r>
    </w:p>
    <w:p w14:paraId="3A93D6AC" w14:textId="5C27CC8E" w:rsidR="00123C01" w:rsidRPr="00123C01" w:rsidRDefault="00123C01" w:rsidP="00123C01">
      <w:pPr>
        <w:snapToGrid w:val="0"/>
        <w:spacing w:after="240" w:line="276" w:lineRule="auto"/>
        <w:ind w:leftChars="-400" w:left="-880" w:rightChars="-444" w:right="-977"/>
        <w:jc w:val="center"/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</w:pPr>
      <w:r w:rsidRPr="00123C01">
        <w:rPr>
          <w:rFonts w:ascii="Times New Roman" w:eastAsia="SimHei" w:hAnsi="Times New Roman" w:cs="Times New Roman"/>
          <w:b/>
          <w:bCs/>
          <w:sz w:val="28"/>
          <w:szCs w:val="28"/>
          <w:lang w:val="uk-UA"/>
        </w:rPr>
        <w:t xml:space="preserve">Департамент науки і техніки провінції </w:t>
      </w:r>
      <w:proofErr w:type="spellStart"/>
      <w:r w:rsidRPr="00123C01">
        <w:rPr>
          <w:rFonts w:ascii="Times New Roman" w:eastAsia="SimHei" w:hAnsi="Times New Roman" w:cs="Times New Roman"/>
          <w:b/>
          <w:bCs/>
          <w:sz w:val="28"/>
          <w:szCs w:val="28"/>
          <w:lang w:val="uk-UA"/>
        </w:rPr>
        <w:t>Ґаньсу</w:t>
      </w:r>
      <w:proofErr w:type="spellEnd"/>
    </w:p>
    <w:p w14:paraId="369AA0D8" w14:textId="45EAA872" w:rsidR="0018195A" w:rsidRPr="00123C01" w:rsidRDefault="00123C01" w:rsidP="00123C01">
      <w:pPr>
        <w:snapToGrid w:val="0"/>
        <w:spacing w:after="240" w:line="276" w:lineRule="auto"/>
        <w:ind w:leftChars="-400" w:left="-880" w:rightChars="-444" w:right="-977"/>
        <w:jc w:val="center"/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</w:pPr>
      <w:proofErr w:type="spellStart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>Advances</w:t>
      </w:r>
      <w:proofErr w:type="spellEnd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 xml:space="preserve"> </w:t>
      </w:r>
      <w:proofErr w:type="spellStart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>in</w:t>
      </w:r>
      <w:proofErr w:type="spellEnd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 xml:space="preserve"> </w:t>
      </w:r>
      <w:proofErr w:type="spellStart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>the</w:t>
      </w:r>
      <w:proofErr w:type="spellEnd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 xml:space="preserve"> </w:t>
      </w:r>
      <w:proofErr w:type="spellStart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>diagnosis</w:t>
      </w:r>
      <w:proofErr w:type="spellEnd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 xml:space="preserve"> and treatment of H. </w:t>
      </w:r>
      <w:proofErr w:type="spellStart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>pylori</w:t>
      </w:r>
      <w:proofErr w:type="spellEnd"/>
    </w:p>
    <w:p w14:paraId="49E3B50C" w14:textId="48FEE35B" w:rsidR="00123C01" w:rsidRPr="00123C01" w:rsidRDefault="00123C01" w:rsidP="00123C01">
      <w:pPr>
        <w:snapToGrid w:val="0"/>
        <w:spacing w:after="240" w:line="276" w:lineRule="auto"/>
        <w:ind w:leftChars="-400" w:left="-880" w:rightChars="-444" w:right="-977"/>
        <w:jc w:val="center"/>
        <w:rPr>
          <w:rFonts w:ascii="SimHei" w:eastAsia="SimHei"/>
          <w:b/>
          <w:bCs/>
          <w:sz w:val="40"/>
          <w:szCs w:val="40"/>
          <w:lang w:val="uk-UA"/>
        </w:rPr>
      </w:pPr>
      <w:bookmarkStart w:id="0" w:name="_Hlk113365912"/>
      <w:r w:rsidRPr="00123C01">
        <w:rPr>
          <w:rFonts w:ascii="Times New Roman" w:eastAsia="SimHei" w:hAnsi="Times New Roman" w:cs="Times New Roman"/>
          <w:b/>
          <w:bCs/>
          <w:sz w:val="40"/>
          <w:szCs w:val="40"/>
          <w:lang w:val="uk-UA"/>
        </w:rPr>
        <w:t xml:space="preserve">Симпозіум з нових досягнень у лікуванні та діагностиці </w:t>
      </w:r>
      <w:r w:rsidRPr="00123C01"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en-US"/>
        </w:rPr>
        <w:t>Helicobacter</w:t>
      </w:r>
      <w:r w:rsidRPr="00123C01"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uk-UA"/>
        </w:rPr>
        <w:t xml:space="preserve"> </w:t>
      </w:r>
      <w:r w:rsidRPr="00123C01"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en-US"/>
        </w:rPr>
        <w:t>pylori</w:t>
      </w:r>
      <w:bookmarkEnd w:id="0"/>
    </w:p>
    <w:p w14:paraId="3FA55943" w14:textId="77777777" w:rsidR="00123C01" w:rsidRDefault="00123C01" w:rsidP="00123C01">
      <w:pPr>
        <w:snapToGrid w:val="0"/>
        <w:spacing w:after="240" w:line="276" w:lineRule="auto"/>
        <w:ind w:leftChars="-400" w:left="-880" w:rightChars="-444" w:right="-977"/>
        <w:rPr>
          <w:rFonts w:ascii="Times New Roman" w:eastAsia="SimHei" w:hAnsi="Times New Roman" w:cs="Times New Roman"/>
          <w:sz w:val="28"/>
          <w:szCs w:val="28"/>
          <w:lang w:val="uk-UA"/>
        </w:rPr>
      </w:pPr>
      <w:r>
        <w:rPr>
          <w:rFonts w:ascii="Times New Roman" w:eastAsia="SimHei" w:hAnsi="Times New Roman" w:cs="Times New Roman"/>
          <w:sz w:val="28"/>
          <w:szCs w:val="28"/>
          <w:lang w:val="uk-UA"/>
        </w:rPr>
        <w:t xml:space="preserve">Організація-заявник </w:t>
      </w:r>
      <w:r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  <w:t xml:space="preserve">      Лікарня </w:t>
      </w:r>
      <w:r>
        <w:rPr>
          <w:rFonts w:ascii="Times New Roman" w:eastAsia="SimHei" w:hAnsi="Times New Roman" w:cs="Times New Roman"/>
          <w:sz w:val="28"/>
          <w:szCs w:val="28"/>
          <w:u w:val="single"/>
        </w:rPr>
        <w:t>№2</w:t>
      </w:r>
      <w:r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  <w:t>Ланчжоуського</w:t>
      </w:r>
      <w:proofErr w:type="spellEnd"/>
      <w:r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  <w:t xml:space="preserve"> університету            </w:t>
      </w:r>
      <w:r>
        <w:rPr>
          <w:rFonts w:ascii="Times New Roman" w:eastAsia="SimHei" w:hAnsi="Times New Roman" w:cs="Times New Roman"/>
          <w:sz w:val="28"/>
          <w:szCs w:val="28"/>
          <w:lang w:val="uk-UA"/>
        </w:rPr>
        <w:t xml:space="preserve">                      </w:t>
      </w:r>
    </w:p>
    <w:p w14:paraId="32637B74" w14:textId="2573CE63" w:rsidR="00123C01" w:rsidRDefault="00123C01" w:rsidP="00123C01">
      <w:pPr>
        <w:snapToGrid w:val="0"/>
        <w:spacing w:after="240" w:line="276" w:lineRule="auto"/>
        <w:ind w:leftChars="-400" w:left="-880" w:rightChars="-444" w:right="-977"/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SimHei" w:hAnsi="Times New Roman" w:cs="Times New Roman"/>
          <w:sz w:val="28"/>
          <w:szCs w:val="28"/>
          <w:lang w:val="uk-UA"/>
        </w:rPr>
        <w:t xml:space="preserve">Керівник проекту </w:t>
      </w:r>
      <w:r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  <w:t xml:space="preserve">        </w:t>
      </w:r>
      <w:proofErr w:type="spellStart"/>
      <w:r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  <w:t>Чжан</w:t>
      </w:r>
      <w:proofErr w:type="spellEnd"/>
      <w:r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  <w:t>Декуй</w:t>
      </w:r>
      <w:proofErr w:type="spellEnd"/>
      <w:r>
        <w:rPr>
          <w:rFonts w:ascii="Times New Roman" w:eastAsia="SimHei" w:hAnsi="Times New Roman" w:cs="Times New Roman"/>
          <w:sz w:val="28"/>
          <w:szCs w:val="28"/>
          <w:u w:val="single"/>
          <w:lang w:val="uk-UA"/>
        </w:rPr>
        <w:t xml:space="preserve">                                      </w:t>
      </w:r>
    </w:p>
    <w:tbl>
      <w:tblPr>
        <w:tblStyle w:val="a3"/>
        <w:tblW w:w="10275" w:type="dxa"/>
        <w:tblInd w:w="-784" w:type="dxa"/>
        <w:tblLayout w:type="fixed"/>
        <w:tblLook w:val="04A0" w:firstRow="1" w:lastRow="0" w:firstColumn="1" w:lastColumn="0" w:noHBand="0" w:noVBand="1"/>
      </w:tblPr>
      <w:tblGrid>
        <w:gridCol w:w="3189"/>
        <w:gridCol w:w="7086"/>
      </w:tblGrid>
      <w:tr w:rsidR="00123C01" w14:paraId="217AC72F" w14:textId="77777777" w:rsidTr="00FB7159">
        <w:trPr>
          <w:trHeight w:val="284"/>
        </w:trPr>
        <w:tc>
          <w:tcPr>
            <w:tcW w:w="3189" w:type="dxa"/>
          </w:tcPr>
          <w:p w14:paraId="2D83E6B6" w14:textId="77777777" w:rsidR="00123C01" w:rsidRDefault="00123C01" w:rsidP="00FB7159">
            <w:pPr>
              <w:snapToGrid w:val="0"/>
              <w:spacing w:after="24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Місце проведення </w:t>
            </w:r>
          </w:p>
        </w:tc>
        <w:tc>
          <w:tcPr>
            <w:tcW w:w="7086" w:type="dxa"/>
          </w:tcPr>
          <w:p w14:paraId="3836983A" w14:textId="77777777" w:rsidR="00123C01" w:rsidRDefault="00123C01" w:rsidP="00FB7159">
            <w:pPr>
              <w:snapToGrid w:val="0"/>
              <w:spacing w:after="24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123C01" w14:paraId="33E1EDDC" w14:textId="77777777" w:rsidTr="00FB7159">
        <w:trPr>
          <w:trHeight w:val="284"/>
        </w:trPr>
        <w:tc>
          <w:tcPr>
            <w:tcW w:w="3189" w:type="dxa"/>
          </w:tcPr>
          <w:p w14:paraId="7E380EF1" w14:textId="77777777" w:rsidR="00123C01" w:rsidRDefault="00123C01" w:rsidP="00FB7159">
            <w:pPr>
              <w:snapToGrid w:val="0"/>
              <w:spacing w:after="24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Час проведення </w:t>
            </w:r>
          </w:p>
        </w:tc>
        <w:tc>
          <w:tcPr>
            <w:tcW w:w="7086" w:type="dxa"/>
          </w:tcPr>
          <w:p w14:paraId="47A22E95" w14:textId="77777777" w:rsidR="00123C01" w:rsidRDefault="00123C01" w:rsidP="00FB7159">
            <w:pPr>
              <w:snapToGrid w:val="0"/>
              <w:spacing w:after="24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28.10.2022-29.10.2022</w:t>
            </w:r>
          </w:p>
        </w:tc>
      </w:tr>
      <w:tr w:rsidR="00123C01" w14:paraId="0C71CA4A" w14:textId="77777777" w:rsidTr="00FB7159">
        <w:trPr>
          <w:trHeight w:val="284"/>
        </w:trPr>
        <w:tc>
          <w:tcPr>
            <w:tcW w:w="3189" w:type="dxa"/>
          </w:tcPr>
          <w:p w14:paraId="7D6EE1B1" w14:textId="77777777" w:rsidR="00123C01" w:rsidRDefault="00123C01" w:rsidP="00FB7159">
            <w:pPr>
              <w:snapToGrid w:val="0"/>
              <w:spacing w:after="24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Регіон / Країна </w:t>
            </w:r>
          </w:p>
        </w:tc>
        <w:tc>
          <w:tcPr>
            <w:tcW w:w="7086" w:type="dxa"/>
          </w:tcPr>
          <w:p w14:paraId="21D53C2A" w14:textId="77777777" w:rsidR="00123C01" w:rsidRDefault="00123C01" w:rsidP="00FB7159">
            <w:pPr>
              <w:snapToGrid w:val="0"/>
              <w:spacing w:after="24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Китай</w:t>
            </w:r>
          </w:p>
        </w:tc>
      </w:tr>
      <w:tr w:rsidR="00123C01" w14:paraId="4FF3300E" w14:textId="77777777" w:rsidTr="00FB7159">
        <w:trPr>
          <w:trHeight w:val="284"/>
        </w:trPr>
        <w:tc>
          <w:tcPr>
            <w:tcW w:w="3189" w:type="dxa"/>
          </w:tcPr>
          <w:p w14:paraId="046A20C0" w14:textId="77777777" w:rsidR="00123C01" w:rsidRDefault="00123C01" w:rsidP="00FB7159">
            <w:pPr>
              <w:snapToGrid w:val="0"/>
              <w:spacing w:after="24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Мова проведення</w:t>
            </w:r>
          </w:p>
        </w:tc>
        <w:tc>
          <w:tcPr>
            <w:tcW w:w="7086" w:type="dxa"/>
          </w:tcPr>
          <w:p w14:paraId="76770B23" w14:textId="77777777" w:rsidR="00123C01" w:rsidRDefault="00123C01" w:rsidP="00FB7159">
            <w:pPr>
              <w:snapToGrid w:val="0"/>
              <w:spacing w:after="24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Китайська, англійська</w:t>
            </w:r>
          </w:p>
        </w:tc>
      </w:tr>
    </w:tbl>
    <w:p w14:paraId="548FC649" w14:textId="77777777" w:rsidR="000F2A91" w:rsidRDefault="000F2A91" w:rsidP="000F2A91">
      <w:pPr>
        <w:pStyle w:val="a4"/>
        <w:snapToGrid w:val="0"/>
        <w:spacing w:after="24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DB0A8EE" w14:textId="65CBBFF3" w:rsidR="00123C01" w:rsidRPr="000F2A91" w:rsidRDefault="00123C01" w:rsidP="000F2A91">
      <w:pPr>
        <w:pStyle w:val="a4"/>
        <w:numPr>
          <w:ilvl w:val="0"/>
          <w:numId w:val="1"/>
        </w:numPr>
        <w:snapToGrid w:val="0"/>
        <w:spacing w:after="24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2A91">
        <w:rPr>
          <w:rFonts w:ascii="Times New Roman" w:hAnsi="Times New Roman" w:cs="Times New Roman"/>
          <w:sz w:val="24"/>
          <w:szCs w:val="24"/>
          <w:lang w:val="uk-UA"/>
        </w:rPr>
        <w:t>Мета і значення заходу</w:t>
      </w:r>
    </w:p>
    <w:p w14:paraId="634BADAC" w14:textId="481FD8D6" w:rsidR="00123C01" w:rsidRDefault="00123C01" w:rsidP="000F2A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Світовий рівень інфікування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Helicobacter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pylori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Hp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>) наближається до 50%, а в економічно слаборозвинених районах цей показник ще вище. Зараження цією бактерією тісно пов'язане з раком шлунк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, пептичними виразками, хронічним гастритом та багатьма іншими захворюваннями травної системи. Пошук економічних і точних методів виявлення та ефективних способів лікування завжди був в центрі уваги та важливою темою академічних досліджень. Метою цього проекту є сприяння поглибленій комунікації між Китаєм і країнами та регіонами економічного поясу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>Велик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Шовков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шлях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щодо нових досягнень у діагностиці та лікуванні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Helicobacter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pylori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під проводом національної ініціативи «Один пояс, один шлях» задля підвищення рівня діагностики та лікування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Helicobacter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pylori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в країнах і регіонах-учасниках та сприяння економічному поясу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>Велик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Шовков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шлях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38BD0F" w14:textId="77777777" w:rsidR="000F2A91" w:rsidRPr="005073C3" w:rsidRDefault="000F2A91" w:rsidP="000F2A91">
      <w:pPr>
        <w:snapToGri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2. Коротке представлення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організаторів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соорганізаторів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(у тому числі й 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основа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співпраці сторін тощо)</w:t>
      </w:r>
    </w:p>
    <w:p w14:paraId="08CE59B2" w14:textId="0EA1AEC7" w:rsidR="000F2A91" w:rsidRDefault="000F2A91" w:rsidP="000F2A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Як організатор </w:t>
      </w:r>
      <w:r>
        <w:rPr>
          <w:rFonts w:ascii="Times New Roman" w:hAnsi="Times New Roman" w:cs="Times New Roman"/>
          <w:sz w:val="24"/>
          <w:szCs w:val="24"/>
          <w:lang w:val="uk-UA"/>
        </w:rPr>
        <w:t>симпозіуму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>ікарня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Ланьчжоуського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університету є великою та багатопрофільною лікарнею </w:t>
      </w:r>
      <w:r>
        <w:rPr>
          <w:rFonts w:ascii="Times New Roman" w:hAnsi="Times New Roman" w:cs="Times New Roman"/>
          <w:sz w:val="24"/>
          <w:szCs w:val="24"/>
          <w:lang w:val="uk-UA"/>
        </w:rPr>
        <w:t>третього</w:t>
      </w:r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вищого ступеню з значними медичними, науково-дослідницькими та технічними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потужностями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в провінції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Ґаньсу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. Спираючись на відповідну платформу лікарні, професор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Чжан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Декуй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на чолі зі своєю командою протягом багатьох років займався фундаментальними та клінічними дослідженнями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Helicobacter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pylori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і завершив сумарно близько 10 науково-дослідницьких проектів, пов’язаних, опублікував на SCI та в Китаї статті, пов’язані з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Helicobacter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pylori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. Так, він заклав певну основу в області діагностики та лікування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Helicobacter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73C3">
        <w:rPr>
          <w:rFonts w:ascii="Times New Roman" w:hAnsi="Times New Roman" w:cs="Times New Roman"/>
          <w:sz w:val="24"/>
          <w:szCs w:val="24"/>
          <w:lang w:val="uk-UA"/>
        </w:rPr>
        <w:t>pylori</w:t>
      </w:r>
      <w:proofErr w:type="spellEnd"/>
      <w:r w:rsidRPr="005073C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325D70" w14:textId="59B0D63C" w:rsidR="000F2A91" w:rsidRPr="00EF2A2A" w:rsidRDefault="000F2A91" w:rsidP="000F2A91">
      <w:pPr>
        <w:snapToGrid w:val="0"/>
        <w:spacing w:after="24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 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Очікуванні результати </w:t>
      </w:r>
    </w:p>
    <w:p w14:paraId="063775CC" w14:textId="77777777" w:rsidR="000F2A91" w:rsidRPr="00EF2A2A" w:rsidRDefault="000F2A91" w:rsidP="000F2A91">
      <w:pPr>
        <w:snapToGri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A2A">
        <w:rPr>
          <w:rFonts w:ascii="Times New Roman" w:hAnsi="Times New Roman" w:cs="Times New Roman"/>
          <w:sz w:val="24"/>
          <w:szCs w:val="24"/>
          <w:lang w:val="uk-UA"/>
        </w:rPr>
        <w:t>1. Обговорення результатів останні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х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досл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джень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еп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дем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олог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ії,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патогенност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і,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фактор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в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в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рулентност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і, </w:t>
      </w:r>
      <w:proofErr w:type="spellStart"/>
      <w:r w:rsidRPr="00EF2A2A">
        <w:rPr>
          <w:rFonts w:ascii="Times New Roman" w:hAnsi="Times New Roman" w:cs="Times New Roman"/>
          <w:sz w:val="24"/>
          <w:szCs w:val="24"/>
          <w:lang w:val="uk-UA"/>
        </w:rPr>
        <w:t>фармако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резистентност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метод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в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тестування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способів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результатів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фактор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в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впливу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на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л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кування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2A2A">
        <w:rPr>
          <w:rFonts w:ascii="Times New Roman" w:hAnsi="Times New Roman" w:cs="Times New Roman"/>
          <w:sz w:val="24"/>
          <w:szCs w:val="24"/>
          <w:lang w:val="uk-UA"/>
        </w:rPr>
        <w:t>Helicobacter</w:t>
      </w:r>
      <w:proofErr w:type="spellEnd"/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2A2A">
        <w:rPr>
          <w:rFonts w:ascii="Times New Roman" w:hAnsi="Times New Roman" w:cs="Times New Roman"/>
          <w:sz w:val="24"/>
          <w:szCs w:val="24"/>
          <w:lang w:val="uk-UA"/>
        </w:rPr>
        <w:t>pylori</w:t>
      </w:r>
      <w:proofErr w:type="spellEnd"/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тощо,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а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та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кож сприяння комунікації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м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ж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китайськими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та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ноземними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експертами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надання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керівництва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допомоги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в л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F2A2A">
        <w:rPr>
          <w:rFonts w:ascii="Times New Roman" w:eastAsia="DengXian" w:hAnsi="Times New Roman" w:cs="Times New Roman"/>
          <w:sz w:val="24"/>
          <w:szCs w:val="24"/>
          <w:lang w:val="uk-UA"/>
        </w:rPr>
        <w:t>куванні</w:t>
      </w:r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2A2A">
        <w:rPr>
          <w:rFonts w:ascii="Times New Roman" w:hAnsi="Times New Roman" w:cs="Times New Roman"/>
          <w:sz w:val="24"/>
          <w:szCs w:val="24"/>
          <w:lang w:val="uk-UA"/>
        </w:rPr>
        <w:t>Helicobacter</w:t>
      </w:r>
      <w:proofErr w:type="spellEnd"/>
      <w:r w:rsidRPr="00EF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2A2A">
        <w:rPr>
          <w:rFonts w:ascii="Times New Roman" w:hAnsi="Times New Roman" w:cs="Times New Roman"/>
          <w:sz w:val="24"/>
          <w:szCs w:val="24"/>
          <w:lang w:val="uk-UA"/>
        </w:rPr>
        <w:t>pylori</w:t>
      </w:r>
      <w:proofErr w:type="spellEnd"/>
      <w:r w:rsidRPr="00EF2A2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488C12" w14:textId="18AEBA00" w:rsidR="000F2A91" w:rsidRPr="00123C01" w:rsidRDefault="000F2A91" w:rsidP="000F2A91">
      <w:pPr>
        <w:jc w:val="both"/>
        <w:rPr>
          <w:lang w:val="uk-UA"/>
        </w:rPr>
      </w:pPr>
      <w:r w:rsidRPr="00EF2A2A">
        <w:rPr>
          <w:rFonts w:ascii="Times New Roman" w:hAnsi="Times New Roman" w:cs="Times New Roman"/>
          <w:sz w:val="24"/>
          <w:szCs w:val="24"/>
          <w:lang w:val="uk-UA"/>
        </w:rPr>
        <w:t>2. Реалізація концепції «Один пояс, один шлях», сприяння поглибленій комунікації з країнами та регіонами економічного поясу «Великий Шовковий шлях» і створення довгострокового механізму академічних обмінів, своєчасний обмін останніми досягненнями епохи та науково-технічного розвитку, робота на користь людей усіх країн.</w:t>
      </w:r>
    </w:p>
    <w:sectPr w:rsidR="000F2A91" w:rsidRPr="0012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72EFF"/>
    <w:multiLevelType w:val="hybridMultilevel"/>
    <w:tmpl w:val="86FCFBF2"/>
    <w:lvl w:ilvl="0" w:tplc="169CA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5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5A"/>
    <w:rsid w:val="000F2A91"/>
    <w:rsid w:val="00123C01"/>
    <w:rsid w:val="0018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86E2"/>
  <w15:chartTrackingRefBased/>
  <w15:docId w15:val="{29829D52-AB5E-46A1-A1D3-7681F3D9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C0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Zinevych</dc:creator>
  <cp:keywords/>
  <dc:description/>
  <cp:lastModifiedBy>Inna Zinevych</cp:lastModifiedBy>
  <cp:revision>2</cp:revision>
  <dcterms:created xsi:type="dcterms:W3CDTF">2022-09-06T11:08:00Z</dcterms:created>
  <dcterms:modified xsi:type="dcterms:W3CDTF">2022-09-06T11:19:00Z</dcterms:modified>
</cp:coreProperties>
</file>